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950158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950158" w:rsidTr="00DC6640">
        <w:tc>
          <w:tcPr>
            <w:tcW w:w="4503" w:type="dxa"/>
          </w:tcPr>
          <w:p w:rsidR="009B4C14" w:rsidRPr="00950158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267952" w:rsidTr="00DC6640">
        <w:tc>
          <w:tcPr>
            <w:tcW w:w="4503" w:type="dxa"/>
          </w:tcPr>
          <w:p w:rsidR="009B4C14" w:rsidRPr="00950158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9B4C14" w:rsidRPr="00950158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9B4C14" w:rsidRPr="00950158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776499" w:rsidRPr="008B6FDF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="008B6FDF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404-02-</w:t>
            </w:r>
            <w:r w:rsidR="008B6FDF" w:rsidRPr="008B6FDF">
              <w:rPr>
                <w:rFonts w:ascii="Times New Roman" w:hAnsi="Times New Roman"/>
                <w:sz w:val="24"/>
                <w:szCs w:val="24"/>
              </w:rPr>
              <w:t>84</w:t>
            </w:r>
            <w:r w:rsidR="008B6FDF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/201</w:t>
            </w:r>
            <w:r w:rsidR="008B6FDF" w:rsidRPr="008B6FDF">
              <w:rPr>
                <w:rFonts w:ascii="Times New Roman" w:hAnsi="Times New Roman"/>
                <w:sz w:val="24"/>
                <w:szCs w:val="24"/>
              </w:rPr>
              <w:t>5</w:t>
            </w:r>
            <w:r w:rsidR="008B6FDF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-02/</w:t>
            </w:r>
            <w:r w:rsidR="00740E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B4C14" w:rsidRPr="008B6FDF" w:rsidRDefault="00740E21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DC6640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.06</w:t>
            </w:r>
            <w:r w:rsidR="009B4C14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C6640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  <w:r w:rsidR="009B4C14" w:rsidRPr="008B6FDF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9B4C14" w:rsidRPr="008B6FDF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FDF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9B4C14" w:rsidRPr="00950158" w:rsidRDefault="009B4C14" w:rsidP="00DC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FDF">
              <w:rPr>
                <w:rFonts w:ascii="Times New Roman" w:hAnsi="Times New Roman"/>
                <w:sz w:val="24"/>
                <w:szCs w:val="24"/>
                <w:lang w:val="ru-RU"/>
              </w:rPr>
              <w:t>Б е о г р а д</w:t>
            </w:r>
          </w:p>
        </w:tc>
      </w:tr>
    </w:tbl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>Одговор 1 на захтев за додатне информације или појашњења у вези са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 припремањем понуде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B4C14" w:rsidRPr="005067B2" w:rsidRDefault="009B4C14" w:rsidP="00DC6640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B846AA">
        <w:rPr>
          <w:rFonts w:ascii="Times New Roman" w:hAnsi="Times New Roman"/>
          <w:sz w:val="24"/>
          <w:szCs w:val="24"/>
          <w:lang w:val="ru-RU"/>
        </w:rPr>
        <w:t xml:space="preserve"> У складу са чланом 63. став 3. Закона о јавним набавкама („Службени гласник РС” број 124/12</w:t>
      </w:r>
      <w:r w:rsidR="00DC6640" w:rsidRPr="00B846AA">
        <w:rPr>
          <w:rFonts w:ascii="Times New Roman" w:hAnsi="Times New Roman"/>
          <w:sz w:val="24"/>
          <w:szCs w:val="24"/>
          <w:lang w:val="sr-Latn-RS"/>
        </w:rPr>
        <w:t>, 14/15</w:t>
      </w:r>
      <w:r w:rsidRPr="00B846AA">
        <w:rPr>
          <w:rFonts w:ascii="Times New Roman" w:hAnsi="Times New Roman"/>
          <w:sz w:val="24"/>
          <w:szCs w:val="24"/>
          <w:lang w:val="ru-RU"/>
        </w:rPr>
        <w:t xml:space="preserve">) достављамо вам </w:t>
      </w:r>
      <w:r w:rsidRPr="00B846AA">
        <w:rPr>
          <w:rFonts w:ascii="Times New Roman" w:hAnsi="Times New Roman"/>
          <w:b/>
          <w:sz w:val="24"/>
          <w:szCs w:val="24"/>
          <w:highlight w:val="yellow"/>
          <w:lang w:val="ru-RU"/>
        </w:rPr>
        <w:t>Одговор 1</w:t>
      </w:r>
      <w:r w:rsidRPr="00B846AA">
        <w:rPr>
          <w:rFonts w:ascii="Times New Roman" w:hAnsi="Times New Roman"/>
          <w:sz w:val="24"/>
          <w:szCs w:val="24"/>
          <w:lang w:val="ru-RU"/>
        </w:rPr>
        <w:t xml:space="preserve"> на захтев за додатне информације или појашњења у вези са припремањем понуде за јавну набавку мале </w:t>
      </w:r>
      <w:r w:rsidRPr="005067B2">
        <w:rPr>
          <w:rFonts w:ascii="Times New Roman" w:hAnsi="Times New Roman"/>
          <w:sz w:val="24"/>
          <w:szCs w:val="24"/>
          <w:lang w:val="ru-RU"/>
        </w:rPr>
        <w:t xml:space="preserve">вредности </w:t>
      </w:r>
      <w:r w:rsidR="00DC6640" w:rsidRPr="005067B2">
        <w:rPr>
          <w:rFonts w:ascii="Times New Roman" w:hAnsi="Times New Roman"/>
          <w:sz w:val="24"/>
          <w:szCs w:val="24"/>
          <w:lang w:val="sr-Cyrl-RS"/>
        </w:rPr>
        <w:t>услуге транспорта</w:t>
      </w:r>
      <w:r w:rsidRPr="005067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DC6640" w:rsidRPr="005067B2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5067B2">
        <w:rPr>
          <w:rFonts w:ascii="Times New Roman" w:eastAsia="Times New Roman" w:hAnsi="Times New Roman"/>
          <w:sz w:val="24"/>
          <w:szCs w:val="24"/>
          <w:lang w:val="ru-RU"/>
        </w:rPr>
        <w:t>рој јавне набавке ЈН МВ</w:t>
      </w:r>
      <w:r w:rsidR="00DC6640" w:rsidRPr="005067B2">
        <w:rPr>
          <w:rFonts w:ascii="Times New Roman" w:eastAsia="Times New Roman" w:hAnsi="Times New Roman"/>
          <w:sz w:val="24"/>
          <w:szCs w:val="24"/>
          <w:lang w:val="ru-RU"/>
        </w:rPr>
        <w:t xml:space="preserve"> 22</w:t>
      </w:r>
      <w:r w:rsidRPr="005067B2">
        <w:rPr>
          <w:rFonts w:ascii="Times New Roman" w:eastAsia="Times New Roman" w:hAnsi="Times New Roman"/>
          <w:sz w:val="24"/>
          <w:szCs w:val="24"/>
          <w:lang w:val="ru-RU"/>
        </w:rPr>
        <w:t>/2015</w:t>
      </w:r>
      <w:r w:rsidR="005067B2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DC6640" w:rsidRPr="00B846AA" w:rsidRDefault="00DC6640" w:rsidP="00DC6640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067B2">
        <w:rPr>
          <w:rFonts w:ascii="Times New Roman" w:hAnsi="Times New Roman" w:cs="Times New Roman"/>
          <w:b/>
          <w:color w:val="000000"/>
          <w:u w:val="single"/>
          <w:lang w:val="sr-Cyrl-RS"/>
        </w:rPr>
        <w:t>Питање:</w:t>
      </w:r>
      <w:r w:rsidRPr="00B846AA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5067B2">
        <w:rPr>
          <w:rFonts w:ascii="Times New Roman" w:hAnsi="Times New Roman" w:cs="Times New Roman"/>
          <w:color w:val="000000"/>
          <w:lang w:val="sr-Cyrl-RS"/>
        </w:rPr>
        <w:t>Н</w:t>
      </w:r>
      <w:r w:rsidRPr="00B846AA">
        <w:rPr>
          <w:rFonts w:ascii="Times New Roman" w:hAnsi="Times New Roman" w:cs="Times New Roman"/>
          <w:color w:val="000000"/>
        </w:rPr>
        <w:t>а страни 11. Конкурсне документације</w:t>
      </w:r>
      <w:r w:rsidR="005067B2">
        <w:rPr>
          <w:rFonts w:ascii="Times New Roman" w:hAnsi="Times New Roman" w:cs="Times New Roman"/>
          <w:color w:val="000000"/>
          <w:lang w:val="sr-Cyrl-RS"/>
        </w:rPr>
        <w:t>,</w:t>
      </w:r>
      <w:r w:rsidRPr="00B846AA">
        <w:rPr>
          <w:rFonts w:ascii="Times New Roman" w:hAnsi="Times New Roman" w:cs="Times New Roman"/>
          <w:color w:val="000000"/>
        </w:rPr>
        <w:t xml:space="preserve"> у оквиру </w:t>
      </w:r>
      <w:r w:rsidRPr="00B846AA">
        <w:rPr>
          <w:rFonts w:ascii="Times New Roman" w:hAnsi="Times New Roman" w:cs="Times New Roman"/>
          <w:color w:val="000000"/>
          <w:lang w:val="sr-Latn-RS"/>
        </w:rPr>
        <w:t>III</w:t>
      </w:r>
      <w:r w:rsidRPr="00B846AA">
        <w:rPr>
          <w:rFonts w:ascii="Times New Roman" w:hAnsi="Times New Roman" w:cs="Times New Roman"/>
          <w:color w:val="000000"/>
        </w:rPr>
        <w:t>/2 ТЕХНИЧКА СПЕЦИФИКАЦИЈА- ВРСТА И ОПИС ПРЕДМЕТА НАБАВКЕ – ПАРТИЈА 2, наводите следеће: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Предмет набавке је: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 xml:space="preserve">организација </w:t>
      </w:r>
      <w:r w:rsidRPr="00B846AA">
        <w:rPr>
          <w:rFonts w:ascii="Times New Roman" w:hAnsi="Times New Roman" w:cs="Times New Roman"/>
          <w:color w:val="000000"/>
          <w:lang w:val="sr-Cyrl-RS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извршење услуге транспорта прехрамбених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других врста различитих производа са свим пратећим документима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свим потребним радњама у царинском поступку, из Београда за Верону, Република Италија по следећој динамици: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 xml:space="preserve">1) у периоду </w:t>
      </w:r>
      <w:r w:rsidRPr="00B846AA">
        <w:rPr>
          <w:rFonts w:ascii="Times New Roman" w:hAnsi="Times New Roman" w:cs="Times New Roman"/>
          <w:b/>
          <w:bCs/>
          <w:color w:val="000000"/>
        </w:rPr>
        <w:t>од 5. до 10.</w:t>
      </w:r>
      <w:r w:rsidR="003D13D2" w:rsidRPr="00B846AA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јуна 2015</w:t>
      </w:r>
      <w:r w:rsidRPr="00B846AA">
        <w:rPr>
          <w:rFonts w:ascii="Times New Roman" w:hAnsi="Times New Roman" w:cs="Times New Roman"/>
          <w:color w:val="000000"/>
        </w:rPr>
        <w:t>.</w:t>
      </w:r>
      <w:r w:rsidR="003D13D2" w:rsidRPr="00B846AA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године један камион хладњача, носивости до 7.5т (различите врсте прехрамбених производа)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па опет у следећем ставу: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 xml:space="preserve">организација и извршење  услуге  транспорта промотивног материјала са свим пратећим документима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свим потребним радњама у царинском поступку, из Београда за Милано, Република Италија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испорука павиљон Републике Србије, на локацији “ЕXПО Милано 2015”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lastRenderedPageBreak/>
        <w:t xml:space="preserve">1) у периоду </w:t>
      </w:r>
      <w:r w:rsidRPr="00B846AA">
        <w:rPr>
          <w:rFonts w:ascii="Times New Roman" w:hAnsi="Times New Roman" w:cs="Times New Roman"/>
          <w:b/>
          <w:bCs/>
          <w:color w:val="000000"/>
        </w:rPr>
        <w:t>од 5. до 10.јуна 2015.</w:t>
      </w:r>
      <w:r w:rsidRPr="00B846AA">
        <w:rPr>
          <w:rFonts w:ascii="Times New Roman" w:hAnsi="Times New Roman" w:cs="Times New Roman"/>
          <w:color w:val="000000"/>
        </w:rPr>
        <w:t>године једно теретно возило, носивости до 1,2т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3D13D2">
      <w:pPr>
        <w:pStyle w:val="Standard"/>
        <w:ind w:firstLine="720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У Позиву за подношење понуда који је објављен на Порталу за јавне набавке дана 04.06.2015.године, наводи се да је отварање понуда за наведену јавну набавку 11.06.2015.године.</w:t>
      </w:r>
      <w:r w:rsidR="003D13D2" w:rsidRPr="00B846AA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 xml:space="preserve">Како је могуће најпре извршити услугу транспорта пре самог отварања понуда, јер у конкурсној документацији захтевате да се услуге транспорта изврше у периоду </w:t>
      </w:r>
      <w:r w:rsidRPr="00B846AA">
        <w:rPr>
          <w:rFonts w:ascii="Times New Roman" w:hAnsi="Times New Roman" w:cs="Times New Roman"/>
          <w:b/>
          <w:bCs/>
          <w:color w:val="000000"/>
        </w:rPr>
        <w:t>од 5. до 10.јуна 2015</w:t>
      </w:r>
      <w:r w:rsidRPr="00B846AA">
        <w:rPr>
          <w:rFonts w:ascii="Times New Roman" w:hAnsi="Times New Roman" w:cs="Times New Roman"/>
          <w:color w:val="000000"/>
        </w:rPr>
        <w:t>.године а отварање понуда за предметну јавну набавку, на којој тек треба да утврдите најповољнијег понуђача је</w:t>
      </w:r>
      <w:r w:rsidR="003D13D2" w:rsidRPr="00B846AA">
        <w:rPr>
          <w:rFonts w:ascii="Times New Roman" w:hAnsi="Times New Roman" w:cs="Times New Roman"/>
          <w:color w:val="000000"/>
        </w:rPr>
        <w:t xml:space="preserve"> 11.06.2015</w:t>
      </w:r>
      <w:r w:rsidRPr="00B846AA">
        <w:rPr>
          <w:rFonts w:ascii="Times New Roman" w:hAnsi="Times New Roman" w:cs="Times New Roman"/>
          <w:color w:val="000000"/>
        </w:rPr>
        <w:t>.</w:t>
      </w:r>
      <w:r w:rsidR="003D13D2" w:rsidRPr="00B846AA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године.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 xml:space="preserve">Исту захтевану динамику предвидели сте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у оквиру Обрасца понуде за Партију 2, стране  45. </w:t>
      </w:r>
      <w:r w:rsidR="003D13D2" w:rsidRPr="00B846AA">
        <w:rPr>
          <w:rFonts w:ascii="Times New Roman" w:hAnsi="Times New Roman" w:cs="Times New Roman"/>
          <w:color w:val="000000"/>
        </w:rPr>
        <w:t>и</w:t>
      </w:r>
      <w:r w:rsidRPr="00B846AA">
        <w:rPr>
          <w:rFonts w:ascii="Times New Roman" w:hAnsi="Times New Roman" w:cs="Times New Roman"/>
          <w:color w:val="000000"/>
        </w:rPr>
        <w:t xml:space="preserve"> 46., у оквиру табеле у којој понуђач треба да упише појединачне цене.</w:t>
      </w: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DC6640" w:rsidRPr="00B846AA" w:rsidRDefault="00DC6640" w:rsidP="00DC664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Да ли се ради о техничкој грешци?</w:t>
      </w:r>
    </w:p>
    <w:p w:rsidR="00353B70" w:rsidRPr="00B846AA" w:rsidRDefault="00353B70" w:rsidP="003D13D2">
      <w:pPr>
        <w:tabs>
          <w:tab w:val="left" w:pos="1440"/>
        </w:tabs>
        <w:rPr>
          <w:sz w:val="24"/>
          <w:szCs w:val="24"/>
          <w:u w:val="single"/>
          <w:lang w:val="ru-RU"/>
        </w:rPr>
      </w:pPr>
    </w:p>
    <w:p w:rsidR="00BC3974" w:rsidRPr="00B846AA" w:rsidRDefault="00312B74" w:rsidP="00A815AA">
      <w:pPr>
        <w:tabs>
          <w:tab w:val="left" w:pos="1440"/>
        </w:tabs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846AA">
        <w:rPr>
          <w:rFonts w:ascii="Times New Roman" w:hAnsi="Times New Roman"/>
          <w:b/>
          <w:sz w:val="24"/>
          <w:szCs w:val="24"/>
          <w:u w:val="single"/>
          <w:lang w:val="ru-RU"/>
        </w:rPr>
        <w:t>Одговор</w:t>
      </w:r>
      <w:r w:rsidRPr="00B846AA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C78E4" w:rsidRPr="00B846AA">
        <w:rPr>
          <w:rFonts w:ascii="Times New Roman" w:hAnsi="Times New Roman"/>
          <w:sz w:val="24"/>
          <w:szCs w:val="24"/>
          <w:lang w:val="sr-Cyrl-RS"/>
        </w:rPr>
        <w:t xml:space="preserve">Уместо горе наведеног рока </w:t>
      </w:r>
      <w:r w:rsidR="007C78E4" w:rsidRPr="00B846AA">
        <w:rPr>
          <w:rFonts w:ascii="Times New Roman" w:hAnsi="Times New Roman"/>
          <w:b/>
          <w:bCs/>
          <w:color w:val="000000"/>
          <w:sz w:val="24"/>
          <w:szCs w:val="24"/>
        </w:rPr>
        <w:t>од 5. до 10.</w:t>
      </w:r>
      <w:r w:rsidR="007C78E4" w:rsidRPr="00B846AA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7C78E4" w:rsidRPr="00B846AA">
        <w:rPr>
          <w:rFonts w:ascii="Times New Roman" w:hAnsi="Times New Roman"/>
          <w:b/>
          <w:bCs/>
          <w:color w:val="000000"/>
          <w:sz w:val="24"/>
          <w:szCs w:val="24"/>
        </w:rPr>
        <w:t>јуна 2015</w:t>
      </w:r>
      <w:r w:rsidR="007C78E4" w:rsidRPr="00B846AA">
        <w:rPr>
          <w:rFonts w:ascii="Times New Roman" w:hAnsi="Times New Roman"/>
          <w:color w:val="000000"/>
          <w:sz w:val="24"/>
          <w:szCs w:val="24"/>
        </w:rPr>
        <w:t>.</w:t>
      </w:r>
      <w:r w:rsidR="007C78E4" w:rsidRPr="00B846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C78E4" w:rsidRPr="00B846AA">
        <w:rPr>
          <w:rFonts w:ascii="Times New Roman" w:hAnsi="Times New Roman"/>
          <w:color w:val="000000"/>
          <w:sz w:val="24"/>
          <w:szCs w:val="24"/>
        </w:rPr>
        <w:t>године</w:t>
      </w:r>
      <w:r w:rsidR="007C78E4" w:rsidRPr="00B846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рок је од 25. до 30. јуна </w:t>
      </w:r>
      <w:r w:rsidR="0015683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године </w:t>
      </w:r>
      <w:r w:rsidR="007C78E4" w:rsidRPr="00B846AA">
        <w:rPr>
          <w:rFonts w:ascii="Times New Roman" w:hAnsi="Times New Roman"/>
          <w:color w:val="000000"/>
          <w:sz w:val="24"/>
          <w:szCs w:val="24"/>
          <w:lang w:val="sr-Cyrl-RS"/>
        </w:rPr>
        <w:t>по писаном захтеву Наручиоца.</w:t>
      </w:r>
    </w:p>
    <w:p w:rsidR="006061A6" w:rsidRPr="00B846AA" w:rsidRDefault="0084172A" w:rsidP="0084172A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F3773" w:rsidRPr="002F3773"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  <w:t>Питање:</w:t>
      </w:r>
      <w:r w:rsidR="002F3773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061A6" w:rsidRPr="00B846AA">
        <w:rPr>
          <w:rFonts w:ascii="Times New Roman" w:hAnsi="Times New Roman" w:cs="Times New Roman"/>
          <w:color w:val="000000"/>
        </w:rPr>
        <w:t>Обзиром да је јавна набавка обликована по партијама</w:t>
      </w: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-ПАРТИЈА I</w:t>
      </w: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и</w:t>
      </w: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-ПАРТИЈА II</w:t>
      </w: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  <w:r w:rsidRPr="00B846AA">
        <w:rPr>
          <w:rFonts w:ascii="Times New Roman" w:hAnsi="Times New Roman" w:cs="Times New Roman"/>
          <w:b/>
          <w:bCs/>
          <w:color w:val="000000"/>
        </w:rPr>
        <w:t>Молим одговор  на питање :</w:t>
      </w: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6061A6" w:rsidRPr="00B846AA" w:rsidRDefault="006061A6" w:rsidP="008417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>Да ли понуђач који подноси понуду</w:t>
      </w:r>
      <w:r w:rsidR="006D4160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за обе партије (за ПАРТИЈУ</w:t>
      </w:r>
      <w:r w:rsidR="006D4160" w:rsidRPr="00B846AA">
        <w:rPr>
          <w:rFonts w:ascii="Times New Roman" w:hAnsi="Times New Roman" w:cs="Times New Roman"/>
          <w:color w:val="000000"/>
        </w:rPr>
        <w:t xml:space="preserve"> 1</w:t>
      </w:r>
      <w:r w:rsidRPr="00B846AA">
        <w:rPr>
          <w:rFonts w:ascii="Times New Roman" w:hAnsi="Times New Roman" w:cs="Times New Roman"/>
          <w:color w:val="000000"/>
        </w:rPr>
        <w:t xml:space="preserve"> и за ПАРТИЈУ</w:t>
      </w:r>
      <w:r w:rsidR="006D4160" w:rsidRPr="00B846AA">
        <w:rPr>
          <w:rFonts w:ascii="Times New Roman" w:hAnsi="Times New Roman" w:cs="Times New Roman"/>
          <w:color w:val="000000"/>
        </w:rPr>
        <w:t xml:space="preserve"> 2</w:t>
      </w:r>
      <w:r w:rsidRPr="00B846AA">
        <w:rPr>
          <w:rFonts w:ascii="Times New Roman" w:hAnsi="Times New Roman" w:cs="Times New Roman"/>
          <w:color w:val="000000"/>
        </w:rPr>
        <w:t>) доставља два сета докумената, или подноси један сет докумената који у себи садржи обе понуде (</w:t>
      </w:r>
      <w:r w:rsidR="006D4160" w:rsidRPr="00B846AA">
        <w:rPr>
          <w:rFonts w:ascii="Times New Roman" w:hAnsi="Times New Roman" w:cs="Times New Roman"/>
          <w:color w:val="000000"/>
        </w:rPr>
        <w:t>VII</w:t>
      </w:r>
      <w:r w:rsidRPr="00B846AA">
        <w:rPr>
          <w:rFonts w:ascii="Times New Roman" w:hAnsi="Times New Roman" w:cs="Times New Roman"/>
          <w:color w:val="000000"/>
        </w:rPr>
        <w:t xml:space="preserve">/1 ОБРАЗАЦ ПОНУДЕ ЗА ПАРТИЈУ 1 и </w:t>
      </w:r>
      <w:r w:rsidR="006D4160" w:rsidRPr="00B846AA">
        <w:rPr>
          <w:rFonts w:ascii="Times New Roman" w:hAnsi="Times New Roman" w:cs="Times New Roman"/>
          <w:color w:val="000000"/>
        </w:rPr>
        <w:t>VII</w:t>
      </w:r>
      <w:r w:rsidRPr="00B846AA">
        <w:rPr>
          <w:rFonts w:ascii="Times New Roman" w:hAnsi="Times New Roman" w:cs="Times New Roman"/>
          <w:color w:val="000000"/>
        </w:rPr>
        <w:t>/2 ОБРАЗАЦ ПОНУДЕ ЗА ПАРТИЈУ 2, X</w:t>
      </w:r>
      <w:r w:rsidR="006D4160" w:rsidRPr="00B846AA">
        <w:rPr>
          <w:rFonts w:ascii="Times New Roman" w:hAnsi="Times New Roman" w:cs="Times New Roman"/>
          <w:color w:val="000000"/>
        </w:rPr>
        <w:t>I</w:t>
      </w:r>
      <w:r w:rsidRPr="00B846AA">
        <w:rPr>
          <w:rFonts w:ascii="Times New Roman" w:hAnsi="Times New Roman" w:cs="Times New Roman"/>
          <w:color w:val="000000"/>
        </w:rPr>
        <w:t xml:space="preserve"> МОДЕЛ УГОВОРА за сваку партију, по један образац свих потребних Изјава).</w:t>
      </w:r>
    </w:p>
    <w:p w:rsidR="006061A6" w:rsidRPr="00B846AA" w:rsidRDefault="006061A6" w:rsidP="006061A6">
      <w:pPr>
        <w:pStyle w:val="Standard"/>
        <w:ind w:left="720"/>
        <w:jc w:val="both"/>
        <w:rPr>
          <w:rFonts w:ascii="Times New Roman" w:hAnsi="Times New Roman" w:cs="Times New Roman"/>
          <w:color w:val="000000"/>
        </w:rPr>
      </w:pPr>
    </w:p>
    <w:p w:rsidR="00737789" w:rsidRPr="002F3773" w:rsidRDefault="0084172A" w:rsidP="006061A6">
      <w:pPr>
        <w:pStyle w:val="Standard"/>
        <w:ind w:left="720"/>
        <w:jc w:val="both"/>
        <w:rPr>
          <w:rFonts w:ascii="Times New Roman" w:hAnsi="Times New Roman" w:cs="Times New Roman"/>
          <w:b/>
        </w:rPr>
      </w:pPr>
      <w:r w:rsidRPr="002F3773">
        <w:rPr>
          <w:rFonts w:ascii="Times New Roman" w:hAnsi="Times New Roman" w:cs="Times New Roman"/>
          <w:b/>
          <w:u w:val="single"/>
          <w:lang w:val="ru-RU"/>
        </w:rPr>
        <w:t>Одговор</w:t>
      </w:r>
      <w:r w:rsidRPr="002F3773">
        <w:rPr>
          <w:rFonts w:ascii="Times New Roman" w:hAnsi="Times New Roman" w:cs="Times New Roman"/>
          <w:b/>
          <w:lang w:val="ru-RU"/>
        </w:rPr>
        <w:t>:</w:t>
      </w:r>
      <w:r w:rsidRPr="002F3773">
        <w:rPr>
          <w:rFonts w:ascii="Times New Roman" w:hAnsi="Times New Roman" w:cs="Times New Roman"/>
          <w:b/>
        </w:rPr>
        <w:t xml:space="preserve">  </w:t>
      </w:r>
    </w:p>
    <w:p w:rsidR="006061A6" w:rsidRPr="007D5642" w:rsidRDefault="00F83DFB" w:rsidP="00737789">
      <w:pPr>
        <w:pStyle w:val="Standard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sr-Cyrl-RS"/>
        </w:rPr>
      </w:pPr>
      <w:r w:rsidRPr="007D5642">
        <w:rPr>
          <w:rFonts w:ascii="Times New Roman" w:hAnsi="Times New Roman" w:cs="Times New Roman"/>
          <w:lang w:val="sr-Cyrl-RS"/>
        </w:rPr>
        <w:t>Образац Техничка спецификација се до</w:t>
      </w:r>
      <w:r w:rsidR="00737789" w:rsidRPr="007D5642">
        <w:rPr>
          <w:rFonts w:ascii="Times New Roman" w:hAnsi="Times New Roman" w:cs="Times New Roman"/>
          <w:lang w:val="sr-Cyrl-RS"/>
        </w:rPr>
        <w:t>ставља за сваку партију посебно.</w:t>
      </w:r>
    </w:p>
    <w:p w:rsidR="00737789" w:rsidRPr="007D5642" w:rsidRDefault="00737789" w:rsidP="00737789">
      <w:pPr>
        <w:pStyle w:val="Pasussalistom"/>
        <w:numPr>
          <w:ilvl w:val="0"/>
          <w:numId w:val="5"/>
        </w:numPr>
        <w:ind w:left="0" w:right="-529" w:firstLine="0"/>
        <w:jc w:val="both"/>
        <w:rPr>
          <w:sz w:val="24"/>
          <w:szCs w:val="24"/>
          <w:lang w:val="sr-Cyrl-RS"/>
        </w:rPr>
      </w:pPr>
      <w:r w:rsidRPr="007D5642">
        <w:rPr>
          <w:sz w:val="24"/>
          <w:szCs w:val="24"/>
          <w:lang w:val="sr-Cyrl-RS"/>
        </w:rPr>
        <w:t xml:space="preserve">Образац </w:t>
      </w:r>
      <w:r w:rsidRPr="007D5642">
        <w:rPr>
          <w:sz w:val="24"/>
          <w:szCs w:val="24"/>
          <w:lang w:val="sr-Latn-RS"/>
        </w:rPr>
        <w:t>V</w:t>
      </w:r>
      <w:r w:rsidRPr="007D5642">
        <w:rPr>
          <w:sz w:val="24"/>
          <w:szCs w:val="24"/>
          <w:lang w:val="sr-Cyrl-RS"/>
        </w:rPr>
        <w:t>/</w:t>
      </w:r>
      <w:r w:rsidRPr="007D5642">
        <w:rPr>
          <w:sz w:val="24"/>
          <w:szCs w:val="24"/>
        </w:rPr>
        <w:t>I</w:t>
      </w:r>
      <w:r w:rsidR="00CB6E09">
        <w:rPr>
          <w:sz w:val="24"/>
          <w:szCs w:val="24"/>
          <w:lang w:val="sr-Latn-RS"/>
        </w:rPr>
        <w:t xml:space="preserve">  </w:t>
      </w:r>
      <w:r w:rsidRPr="007D5642">
        <w:rPr>
          <w:sz w:val="24"/>
          <w:szCs w:val="24"/>
          <w:lang w:val="hr-HR"/>
        </w:rPr>
        <w:t>ИЗЈАВА О ИСПУЊАВАЊУ УСЛОВА ЗА УЧЕШЋЕ</w:t>
      </w:r>
      <w:r w:rsidRPr="007D5642">
        <w:rPr>
          <w:sz w:val="24"/>
          <w:szCs w:val="24"/>
          <w:lang w:val="sr-Cyrl-RS"/>
        </w:rPr>
        <w:t xml:space="preserve"> </w:t>
      </w:r>
      <w:r w:rsidRPr="007D5642">
        <w:rPr>
          <w:sz w:val="24"/>
          <w:szCs w:val="24"/>
          <w:lang w:val="hr-HR"/>
        </w:rPr>
        <w:t>У ПОСТУПКУ ЈАВНЕ НАБАВКЕ МАЛЕ ВРЕДНОСТИ</w:t>
      </w:r>
      <w:r w:rsidRPr="007D5642">
        <w:rPr>
          <w:sz w:val="24"/>
          <w:szCs w:val="24"/>
          <w:lang w:val="sr-Cyrl-RS"/>
        </w:rPr>
        <w:t xml:space="preserve"> ЗА ПОНУЂАЧА / ЧЛАНА ГРУПЕ ПОНУЂАЧА</w:t>
      </w:r>
    </w:p>
    <w:p w:rsidR="00737789" w:rsidRPr="007D5642" w:rsidRDefault="00737789" w:rsidP="00737789">
      <w:pPr>
        <w:ind w:right="-52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64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7D5642">
        <w:rPr>
          <w:rFonts w:ascii="Times New Roman" w:hAnsi="Times New Roman"/>
          <w:sz w:val="24"/>
          <w:szCs w:val="24"/>
          <w:lang w:val="sr-Latn-RS"/>
        </w:rPr>
        <w:t>V</w:t>
      </w:r>
      <w:r w:rsidRPr="007D5642">
        <w:rPr>
          <w:rFonts w:ascii="Times New Roman" w:hAnsi="Times New Roman"/>
          <w:sz w:val="24"/>
          <w:szCs w:val="24"/>
          <w:lang w:val="sr-Cyrl-RS"/>
        </w:rPr>
        <w:t>/</w:t>
      </w:r>
      <w:r w:rsidRPr="007D5642">
        <w:rPr>
          <w:rFonts w:ascii="Times New Roman" w:hAnsi="Times New Roman"/>
          <w:sz w:val="24"/>
          <w:szCs w:val="24"/>
        </w:rPr>
        <w:t>II</w:t>
      </w:r>
      <w:r w:rsidR="00CB6E09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7D5642">
        <w:rPr>
          <w:rFonts w:ascii="Times New Roman" w:hAnsi="Times New Roman"/>
          <w:sz w:val="24"/>
          <w:szCs w:val="24"/>
          <w:lang w:val="hr-HR"/>
        </w:rPr>
        <w:t xml:space="preserve">ИЗЈАВА О ИСПУЊАВАЊУ УСЛОВА ЗА </w:t>
      </w:r>
      <w:r w:rsidRPr="007D56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5642">
        <w:rPr>
          <w:rFonts w:ascii="Times New Roman" w:hAnsi="Times New Roman"/>
          <w:sz w:val="24"/>
          <w:szCs w:val="24"/>
          <w:lang w:val="hr-HR"/>
        </w:rPr>
        <w:t>УЧЕШЋЕ</w:t>
      </w:r>
      <w:r w:rsidRPr="007D56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5642">
        <w:rPr>
          <w:rFonts w:ascii="Times New Roman" w:hAnsi="Times New Roman"/>
          <w:sz w:val="24"/>
          <w:szCs w:val="24"/>
          <w:lang w:val="hr-HR"/>
        </w:rPr>
        <w:t>У ПОСТУПКУ ЈАВНЕ НАБАВКЕ МАЛЕ ВРЕДНОСТИ</w:t>
      </w:r>
      <w:r w:rsidRPr="007D5642">
        <w:rPr>
          <w:rFonts w:ascii="Times New Roman" w:hAnsi="Times New Roman"/>
          <w:sz w:val="24"/>
          <w:szCs w:val="24"/>
          <w:lang w:val="sr-Cyrl-RS"/>
        </w:rPr>
        <w:t xml:space="preserve"> ЗА ПОДИЗВОЂАЧА</w:t>
      </w:r>
      <w:r w:rsidR="007D5642" w:rsidRPr="007D5642">
        <w:rPr>
          <w:rFonts w:ascii="Times New Roman" w:hAnsi="Times New Roman"/>
          <w:sz w:val="24"/>
          <w:szCs w:val="24"/>
          <w:lang w:val="sr-Latn-RS"/>
        </w:rPr>
        <w:t xml:space="preserve"> – </w:t>
      </w:r>
      <w:r w:rsidR="007D5642" w:rsidRPr="007D5642">
        <w:rPr>
          <w:rFonts w:ascii="Times New Roman" w:hAnsi="Times New Roman"/>
          <w:sz w:val="24"/>
          <w:szCs w:val="24"/>
          <w:lang w:val="sr-Cyrl-RS"/>
        </w:rPr>
        <w:t>довољно је у 1 (једном) примерку за обе партије</w:t>
      </w:r>
    </w:p>
    <w:p w:rsidR="007D5642" w:rsidRPr="00CB6E09" w:rsidRDefault="007D5642" w:rsidP="007D5642">
      <w:pPr>
        <w:pStyle w:val="Pasussalistom"/>
        <w:numPr>
          <w:ilvl w:val="0"/>
          <w:numId w:val="5"/>
        </w:numPr>
        <w:ind w:left="0" w:right="-529" w:firstLine="0"/>
        <w:jc w:val="both"/>
        <w:rPr>
          <w:sz w:val="24"/>
          <w:szCs w:val="24"/>
          <w:lang w:val="sr-Cyrl-RS"/>
        </w:rPr>
      </w:pPr>
      <w:r w:rsidRPr="00CB6E09">
        <w:rPr>
          <w:sz w:val="24"/>
          <w:szCs w:val="24"/>
          <w:lang w:val="sr-Cyrl-RS"/>
        </w:rPr>
        <w:t>Образац понуде се доставља за сваку партију посебно</w:t>
      </w:r>
    </w:p>
    <w:p w:rsidR="007D5642" w:rsidRPr="00CB6E09" w:rsidRDefault="007D5642" w:rsidP="007D5642">
      <w:pPr>
        <w:ind w:right="-52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6E09">
        <w:rPr>
          <w:rFonts w:ascii="Times New Roman" w:hAnsi="Times New Roman"/>
          <w:sz w:val="24"/>
          <w:szCs w:val="24"/>
          <w:lang w:val="sr-Latn-RS"/>
        </w:rPr>
        <w:t xml:space="preserve">VIII   </w:t>
      </w:r>
      <w:r w:rsidRPr="00CB6E09">
        <w:rPr>
          <w:rFonts w:ascii="Times New Roman" w:hAnsi="Times New Roman"/>
          <w:sz w:val="24"/>
          <w:szCs w:val="24"/>
          <w:lang w:val="sr-Cyrl-RS"/>
        </w:rPr>
        <w:t>ОБРАЗАЦ – ИЗЈАВА О НЕЗАВИСНОЈ ПОНУДИ довољно је у 1 (једном) примерку за обе партије</w:t>
      </w:r>
    </w:p>
    <w:p w:rsidR="0018525D" w:rsidRDefault="007D5642" w:rsidP="0018525D">
      <w:pPr>
        <w:ind w:right="-52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6E09">
        <w:rPr>
          <w:rFonts w:ascii="Times New Roman" w:hAnsi="Times New Roman"/>
          <w:bCs/>
          <w:iCs/>
          <w:sz w:val="24"/>
          <w:szCs w:val="24"/>
        </w:rPr>
        <w:t>IX</w:t>
      </w:r>
      <w:r w:rsidR="0018525D" w:rsidRPr="00CB6E0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и </w:t>
      </w:r>
      <w:r w:rsidR="0018525D" w:rsidRPr="00CB6E09">
        <w:rPr>
          <w:rFonts w:ascii="Times New Roman" w:hAnsi="Times New Roman"/>
          <w:bCs/>
          <w:iCs/>
          <w:sz w:val="24"/>
          <w:szCs w:val="24"/>
          <w:lang w:val="sr-Latn-RS"/>
        </w:rPr>
        <w:t>IX/1</w:t>
      </w:r>
      <w:r w:rsidRPr="00CB6E0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ОБРАЗАЦ ИЗЈАВЕ О ОБАВЕЗАМА ПОНУЂАЧА НА ОСНОВУ  </w:t>
      </w:r>
      <w:r w:rsidRPr="00CB6E09">
        <w:rPr>
          <w:rFonts w:ascii="Times New Roman" w:hAnsi="Times New Roman"/>
          <w:bCs/>
          <w:iCs/>
          <w:sz w:val="24"/>
          <w:szCs w:val="24"/>
        </w:rPr>
        <w:t xml:space="preserve">ЧЛ. 75. СТАВ 2. ЗЈН </w:t>
      </w:r>
      <w:r w:rsidR="0018525D" w:rsidRPr="00CB6E09">
        <w:rPr>
          <w:rFonts w:ascii="Times New Roman" w:hAnsi="Times New Roman"/>
          <w:sz w:val="24"/>
          <w:szCs w:val="24"/>
          <w:lang w:val="sr-Cyrl-RS"/>
        </w:rPr>
        <w:t>довољно је у 1 (једном) примерку за обе</w:t>
      </w:r>
      <w:r w:rsidR="0018525D" w:rsidRPr="007D5642">
        <w:rPr>
          <w:rFonts w:ascii="Times New Roman" w:hAnsi="Times New Roman"/>
          <w:sz w:val="24"/>
          <w:szCs w:val="24"/>
          <w:lang w:val="sr-Cyrl-RS"/>
        </w:rPr>
        <w:t xml:space="preserve"> партије</w:t>
      </w:r>
    </w:p>
    <w:p w:rsidR="007D5642" w:rsidRPr="00F13E17" w:rsidRDefault="0018525D" w:rsidP="0018525D">
      <w:pPr>
        <w:pStyle w:val="Pasussalistom"/>
        <w:numPr>
          <w:ilvl w:val="0"/>
          <w:numId w:val="5"/>
        </w:numPr>
        <w:ind w:left="0" w:firstLine="0"/>
        <w:jc w:val="both"/>
        <w:rPr>
          <w:bCs/>
          <w:iCs/>
          <w:sz w:val="24"/>
          <w:szCs w:val="24"/>
          <w:lang w:val="sr-Cyrl-RS"/>
        </w:rPr>
      </w:pPr>
      <w:r w:rsidRPr="0018525D">
        <w:rPr>
          <w:bCs/>
          <w:iCs/>
          <w:sz w:val="24"/>
          <w:szCs w:val="24"/>
          <w:lang w:val="sr-Latn-RS"/>
        </w:rPr>
        <w:lastRenderedPageBreak/>
        <w:t xml:space="preserve">X </w:t>
      </w:r>
      <w:r w:rsidRPr="0018525D">
        <w:rPr>
          <w:sz w:val="24"/>
          <w:szCs w:val="24"/>
          <w:lang w:val="sr-Cyrl-CS"/>
        </w:rPr>
        <w:t>ОБРАЗАЦ ТРОШКОВА ПРИПРЕМЕ ПОНУДЕ</w:t>
      </w:r>
      <w:r w:rsidRPr="0018525D">
        <w:rPr>
          <w:sz w:val="24"/>
          <w:szCs w:val="24"/>
          <w:lang w:val="sr-Latn-RS"/>
        </w:rPr>
        <w:t xml:space="preserve"> </w:t>
      </w:r>
      <w:r w:rsidRPr="0018525D">
        <w:rPr>
          <w:sz w:val="24"/>
          <w:szCs w:val="24"/>
          <w:lang w:val="sr-Cyrl-RS"/>
        </w:rPr>
        <w:t>понуђач не мора да доставља у понуди. Ако достави може да назначи у табели на коју се партију односи</w:t>
      </w:r>
    </w:p>
    <w:p w:rsidR="00F13E17" w:rsidRPr="0018525D" w:rsidRDefault="00F13E17" w:rsidP="00F13E17">
      <w:pPr>
        <w:pStyle w:val="Pasussalistom"/>
        <w:ind w:left="0"/>
        <w:jc w:val="both"/>
        <w:rPr>
          <w:bCs/>
          <w:iCs/>
          <w:sz w:val="24"/>
          <w:szCs w:val="24"/>
          <w:lang w:val="sr-Cyrl-RS"/>
        </w:rPr>
      </w:pPr>
    </w:p>
    <w:p w:rsidR="0018525D" w:rsidRPr="00F13E17" w:rsidRDefault="0018525D" w:rsidP="0018525D">
      <w:pPr>
        <w:pStyle w:val="Pasussalistom"/>
        <w:numPr>
          <w:ilvl w:val="0"/>
          <w:numId w:val="5"/>
        </w:numPr>
        <w:ind w:left="0" w:firstLine="0"/>
        <w:jc w:val="both"/>
        <w:rPr>
          <w:bCs/>
          <w:iCs/>
          <w:sz w:val="24"/>
          <w:szCs w:val="24"/>
          <w:lang w:val="sr-Cyrl-RS"/>
        </w:rPr>
      </w:pPr>
      <w:r w:rsidRPr="00F13E17">
        <w:rPr>
          <w:bCs/>
          <w:iCs/>
          <w:sz w:val="24"/>
          <w:szCs w:val="24"/>
          <w:lang w:val="sr-Latn-RS"/>
        </w:rPr>
        <w:t xml:space="preserve">XI </w:t>
      </w:r>
      <w:r w:rsidRPr="00F13E17">
        <w:rPr>
          <w:rFonts w:eastAsia="ヒラギノ角ゴ Pro W3"/>
          <w:sz w:val="24"/>
          <w:szCs w:val="24"/>
          <w:lang w:val="sr-Cyrl-RS"/>
        </w:rPr>
        <w:t>МОДЕЛ УГОВОРА</w:t>
      </w:r>
      <w:r w:rsidRPr="00F13E17">
        <w:rPr>
          <w:rFonts w:eastAsia="ヒラギノ角ゴ Pro W3"/>
          <w:sz w:val="24"/>
          <w:szCs w:val="24"/>
          <w:lang w:val="sr-Latn-RS"/>
        </w:rPr>
        <w:t xml:space="preserve"> </w:t>
      </w:r>
      <w:r w:rsidRPr="00F13E17">
        <w:rPr>
          <w:rFonts w:eastAsia="ヒラギノ角ゴ Pro W3"/>
          <w:sz w:val="24"/>
          <w:szCs w:val="24"/>
          <w:lang w:val="sr-Cyrl-RS"/>
        </w:rPr>
        <w:t>се доставља за сваку партију посебно</w:t>
      </w:r>
    </w:p>
    <w:p w:rsidR="007D5642" w:rsidRPr="0018525D" w:rsidRDefault="007D5642" w:rsidP="001852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172A" w:rsidRPr="00B846AA" w:rsidRDefault="0084172A" w:rsidP="00F13E17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6061A6" w:rsidRPr="00B846AA" w:rsidRDefault="002F3773" w:rsidP="00E3773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F3773">
        <w:rPr>
          <w:rFonts w:ascii="Times New Roman" w:hAnsi="Times New Roman" w:cs="Times New Roman"/>
          <w:b/>
          <w:color w:val="000000"/>
          <w:lang w:val="sr-Cyrl-RS"/>
        </w:rPr>
        <w:t>Питање:</w:t>
      </w:r>
      <w:r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61A6" w:rsidRPr="00B846AA">
        <w:rPr>
          <w:rFonts w:ascii="Times New Roman" w:hAnsi="Times New Roman" w:cs="Times New Roman"/>
          <w:color w:val="000000"/>
        </w:rPr>
        <w:t xml:space="preserve">На страни 18. Конкурсне документације стоји да у складу са чланом 79. став 1. ЗЈН 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>Наручилац може пре доношења одлуке о дедели уговора захтевати од понуђача,</w:t>
      </w:r>
      <w:r w:rsidR="006061A6" w:rsidRPr="00B846AA">
        <w:rPr>
          <w:rFonts w:ascii="Times New Roman" w:hAnsi="Times New Roman" w:cs="Times New Roman"/>
          <w:color w:val="000000"/>
        </w:rPr>
        <w:t xml:space="preserve"> чија је понуда на основу извештаја комисије за јавну набавку оцењена као најповољнија, 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>да достави на увид оригинал или оверену копију свих или појединих доказа наведених у Табели 1.</w:t>
      </w:r>
    </w:p>
    <w:p w:rsidR="006061A6" w:rsidRPr="00B846AA" w:rsidRDefault="006061A6" w:rsidP="006061A6">
      <w:pPr>
        <w:pStyle w:val="Standard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61A6" w:rsidRPr="00B846AA" w:rsidRDefault="006061A6" w:rsidP="00E37732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846AA">
        <w:rPr>
          <w:rFonts w:ascii="Times New Roman" w:hAnsi="Times New Roman" w:cs="Times New Roman"/>
          <w:color w:val="000000"/>
        </w:rPr>
        <w:t xml:space="preserve">Обзиром да су у Табели 1- Услови и Докази од редног број 1 до закључно са редним бројем 4. </w:t>
      </w:r>
      <w:r w:rsidRPr="00B846AA">
        <w:rPr>
          <w:rFonts w:ascii="Times New Roman" w:hAnsi="Times New Roman" w:cs="Times New Roman"/>
          <w:b/>
          <w:bCs/>
          <w:color w:val="000000"/>
        </w:rPr>
        <w:t xml:space="preserve"> Обавезни услови из члана 75 . ЗЈН</w:t>
      </w:r>
      <w:r w:rsidRPr="00B846AA">
        <w:rPr>
          <w:rFonts w:ascii="Times New Roman" w:hAnsi="Times New Roman" w:cs="Times New Roman"/>
          <w:color w:val="000000"/>
        </w:rPr>
        <w:t>, да сходно члану 78. ЗЈН</w:t>
      </w:r>
      <w:r w:rsidRPr="00B846AA">
        <w:rPr>
          <w:rFonts w:ascii="Times New Roman" w:hAnsi="Times New Roman" w:cs="Times New Roman"/>
          <w:b/>
          <w:bCs/>
          <w:color w:val="000000"/>
        </w:rPr>
        <w:t>‚‚Лице уписано у Регистар понуђача није дужно да приликом подношења понуде, односно пријаве доказује испуњеност обавезних услова‚‚</w:t>
      </w:r>
    </w:p>
    <w:p w:rsidR="006061A6" w:rsidRPr="00B846AA" w:rsidRDefault="006061A6" w:rsidP="006061A6">
      <w:pPr>
        <w:pStyle w:val="Standard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61A6" w:rsidRPr="00B846AA" w:rsidRDefault="00517BB1" w:rsidP="00E37732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  <w:r w:rsidRPr="00B846AA">
        <w:rPr>
          <w:rFonts w:ascii="Times New Roman" w:hAnsi="Times New Roman" w:cs="Times New Roman"/>
          <w:b/>
          <w:bCs/>
          <w:color w:val="000000"/>
        </w:rPr>
        <w:t>Молим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одговор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на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питање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>.</w:t>
      </w:r>
    </w:p>
    <w:p w:rsidR="006061A6" w:rsidRPr="00B846AA" w:rsidRDefault="006061A6" w:rsidP="006061A6">
      <w:pPr>
        <w:pStyle w:val="Standard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061A6" w:rsidRPr="002F3773" w:rsidRDefault="00517BB1" w:rsidP="00E37732">
      <w:pPr>
        <w:pStyle w:val="Standard"/>
        <w:jc w:val="both"/>
        <w:rPr>
          <w:rFonts w:ascii="Times New Roman" w:hAnsi="Times New Roman" w:cs="Times New Roman"/>
          <w:color w:val="000000"/>
          <w:lang w:val="sr-Cyrl-RS"/>
        </w:rPr>
      </w:pPr>
      <w:r w:rsidRPr="00B846AA">
        <w:rPr>
          <w:rFonts w:ascii="Times New Roman" w:hAnsi="Times New Roman" w:cs="Times New Roman"/>
          <w:color w:val="000000"/>
        </w:rPr>
        <w:t>Да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ли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је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понуђач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који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је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регистрован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у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Регистру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понуђача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који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води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Агенција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за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привредне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регистре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дужан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да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на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захтев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наручиоца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доставља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оверене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копије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или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оригинале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потребних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обавезних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доказа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по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Табели</w:t>
      </w:r>
      <w:r w:rsidR="006061A6" w:rsidRPr="00B846AA">
        <w:rPr>
          <w:rFonts w:ascii="Times New Roman" w:hAnsi="Times New Roman" w:cs="Times New Roman"/>
          <w:color w:val="000000"/>
        </w:rPr>
        <w:t xml:space="preserve"> 1- (</w:t>
      </w:r>
      <w:r w:rsidRPr="00B846AA">
        <w:rPr>
          <w:rFonts w:ascii="Times New Roman" w:hAnsi="Times New Roman" w:cs="Times New Roman"/>
          <w:color w:val="000000"/>
        </w:rPr>
        <w:t>Услови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Докази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од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редног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број</w:t>
      </w:r>
      <w:r w:rsidR="006061A6" w:rsidRPr="00B846AA">
        <w:rPr>
          <w:rFonts w:ascii="Times New Roman" w:hAnsi="Times New Roman" w:cs="Times New Roman"/>
          <w:color w:val="000000"/>
        </w:rPr>
        <w:t xml:space="preserve"> 1 </w:t>
      </w:r>
      <w:r w:rsidRPr="00B846AA">
        <w:rPr>
          <w:rFonts w:ascii="Times New Roman" w:hAnsi="Times New Roman" w:cs="Times New Roman"/>
          <w:color w:val="000000"/>
        </w:rPr>
        <w:t>до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закључно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са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редним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бројем 4.</w:t>
      </w:r>
      <w:r w:rsidR="006061A6" w:rsidRPr="00B846AA">
        <w:rPr>
          <w:rFonts w:ascii="Times New Roman" w:hAnsi="Times New Roman" w:cs="Times New Roman"/>
          <w:color w:val="000000"/>
        </w:rPr>
        <w:t xml:space="preserve">), </w:t>
      </w:r>
      <w:r w:rsidRPr="00B846AA">
        <w:rPr>
          <w:rFonts w:ascii="Times New Roman" w:hAnsi="Times New Roman" w:cs="Times New Roman"/>
          <w:color w:val="000000"/>
        </w:rPr>
        <w:t>или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је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умести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color w:val="000000"/>
        </w:rPr>
        <w:t>њих</w:t>
      </w:r>
      <w:r w:rsidR="006061A6" w:rsidRPr="00B846AA">
        <w:rPr>
          <w:rFonts w:ascii="Times New Roman" w:hAnsi="Times New Roman" w:cs="Times New Roman"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довољна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оверена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копија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Решења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о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регистрацији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понуђача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Агенције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за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привредне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46AA">
        <w:rPr>
          <w:rFonts w:ascii="Times New Roman" w:hAnsi="Times New Roman" w:cs="Times New Roman"/>
          <w:b/>
          <w:bCs/>
          <w:color w:val="000000"/>
        </w:rPr>
        <w:t>регистре</w:t>
      </w:r>
      <w:r w:rsidR="006061A6" w:rsidRPr="00B846AA">
        <w:rPr>
          <w:rFonts w:ascii="Times New Roman" w:hAnsi="Times New Roman" w:cs="Times New Roman"/>
          <w:b/>
          <w:bCs/>
          <w:color w:val="000000"/>
        </w:rPr>
        <w:t>.</w:t>
      </w:r>
    </w:p>
    <w:p w:rsidR="006061A6" w:rsidRPr="00B846AA" w:rsidRDefault="006061A6" w:rsidP="006061A6">
      <w:pPr>
        <w:pStyle w:val="Standard"/>
        <w:ind w:left="720"/>
        <w:jc w:val="both"/>
        <w:rPr>
          <w:rFonts w:ascii="Times New Roman" w:hAnsi="Times New Roman" w:cs="Times New Roman"/>
          <w:color w:val="000000"/>
        </w:rPr>
      </w:pPr>
    </w:p>
    <w:p w:rsidR="00BC3974" w:rsidRPr="00B846AA" w:rsidRDefault="00BC3974" w:rsidP="006061A6">
      <w:pPr>
        <w:pStyle w:val="Pasussalistom"/>
        <w:tabs>
          <w:tab w:val="left" w:pos="1440"/>
        </w:tabs>
        <w:rPr>
          <w:color w:val="000000"/>
          <w:sz w:val="24"/>
          <w:szCs w:val="24"/>
          <w:lang w:val="sr-Latn-RS"/>
        </w:rPr>
      </w:pPr>
    </w:p>
    <w:p w:rsidR="00517BB1" w:rsidRPr="00B20356" w:rsidRDefault="00517BB1" w:rsidP="00B20356">
      <w:pPr>
        <w:pStyle w:val="Standard"/>
        <w:jc w:val="both"/>
        <w:rPr>
          <w:rFonts w:ascii="Times New Roman" w:hAnsi="Times New Roman"/>
          <w:lang w:val="sr-Cyrl-RS"/>
        </w:rPr>
      </w:pPr>
      <w:r w:rsidRPr="00B846AA">
        <w:rPr>
          <w:rFonts w:ascii="Times New Roman" w:hAnsi="Times New Roman"/>
          <w:b/>
          <w:u w:val="single"/>
          <w:lang w:val="ru-RU"/>
        </w:rPr>
        <w:t>Одговор</w:t>
      </w:r>
      <w:r w:rsidRPr="00B846AA">
        <w:rPr>
          <w:rFonts w:ascii="Times New Roman" w:hAnsi="Times New Roman"/>
          <w:lang w:val="ru-RU"/>
        </w:rPr>
        <w:t>:</w:t>
      </w:r>
      <w:r w:rsidRPr="00B846AA">
        <w:rPr>
          <w:rFonts w:ascii="Times New Roman" w:hAnsi="Times New Roman"/>
        </w:rPr>
        <w:t xml:space="preserve">  </w:t>
      </w:r>
      <w:r w:rsidR="00B20356">
        <w:rPr>
          <w:rFonts w:ascii="Times New Roman" w:hAnsi="Times New Roman"/>
          <w:lang w:val="sr-Cyrl-RS"/>
        </w:rPr>
        <w:t>Довољна је копија Решења о регистрацији понуђача Агеницје за привредне регистре. Довољно је и да понуђач у понуди да наведе да је уписан у Регистар понуђача. Наручилац ће и без тога извршити проверу да ли је понуђач уписан у Регистар понуђача, сходно начелном правном ставу Републичке комисије за заштиту права по овом питању.</w:t>
      </w:r>
    </w:p>
    <w:p w:rsidR="00BC3974" w:rsidRPr="00B846AA" w:rsidRDefault="00BC3974" w:rsidP="00BC3974">
      <w:pPr>
        <w:tabs>
          <w:tab w:val="left" w:pos="1440"/>
        </w:tabs>
        <w:rPr>
          <w:sz w:val="24"/>
          <w:szCs w:val="24"/>
          <w:lang w:val="sr-Latn-RS"/>
        </w:rPr>
      </w:pPr>
    </w:p>
    <w:p w:rsidR="00BC3974" w:rsidRPr="00B846AA" w:rsidRDefault="00BC3974" w:rsidP="00BC3974">
      <w:pPr>
        <w:tabs>
          <w:tab w:val="left" w:pos="1440"/>
        </w:tabs>
        <w:rPr>
          <w:sz w:val="24"/>
          <w:szCs w:val="24"/>
          <w:lang w:val="sr-Latn-RS"/>
        </w:rPr>
      </w:pPr>
    </w:p>
    <w:sectPr w:rsidR="00BC3974" w:rsidRPr="00B846AA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1C" w:rsidRDefault="00C0421C" w:rsidP="000931F1">
      <w:pPr>
        <w:spacing w:after="0" w:line="240" w:lineRule="auto"/>
      </w:pPr>
      <w:r>
        <w:separator/>
      </w:r>
    </w:p>
  </w:endnote>
  <w:endnote w:type="continuationSeparator" w:id="0">
    <w:p w:rsidR="00C0421C" w:rsidRDefault="00C0421C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092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6FC3" w:rsidRDefault="00476FC3">
            <w:pPr>
              <w:pStyle w:val="Podnojestranice"/>
              <w:jc w:val="right"/>
            </w:pPr>
            <w:r>
              <w:rPr>
                <w:lang w:val="sr-Cyrl-RS"/>
              </w:rPr>
              <w:t xml:space="preserve">Страна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C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C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61A6" w:rsidRDefault="00476FC3" w:rsidP="00476FC3">
    <w:pPr>
      <w:pStyle w:val="Podnojestranice"/>
      <w:tabs>
        <w:tab w:val="clear" w:pos="4680"/>
        <w:tab w:val="clear" w:pos="9360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1C" w:rsidRDefault="00C0421C" w:rsidP="000931F1">
      <w:pPr>
        <w:spacing w:after="0" w:line="240" w:lineRule="auto"/>
      </w:pPr>
      <w:r>
        <w:separator/>
      </w:r>
    </w:p>
  </w:footnote>
  <w:footnote w:type="continuationSeparator" w:id="0">
    <w:p w:rsidR="00C0421C" w:rsidRDefault="00C0421C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7B6"/>
    <w:multiLevelType w:val="hybridMultilevel"/>
    <w:tmpl w:val="3076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C0E"/>
    <w:multiLevelType w:val="hybridMultilevel"/>
    <w:tmpl w:val="8FCAB482"/>
    <w:lvl w:ilvl="0" w:tplc="D5D4CF9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87A6D"/>
    <w:multiLevelType w:val="hybridMultilevel"/>
    <w:tmpl w:val="244E1E4E"/>
    <w:lvl w:ilvl="0" w:tplc="A31E3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E262A"/>
    <w:multiLevelType w:val="hybridMultilevel"/>
    <w:tmpl w:val="BF66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EPPVPv8ZibvZSeHCCu1FGaCmc0VC9kTBH4s1q+6Z66MhcclnmA0hN1HDTn3lvYLOBPhHnic6rCD3xXAmt9ASw==" w:salt="rjoSnpNtZYxZRaGQRDNB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12FF6"/>
    <w:rsid w:val="000931F1"/>
    <w:rsid w:val="000F12C7"/>
    <w:rsid w:val="000F1DB5"/>
    <w:rsid w:val="00101FD2"/>
    <w:rsid w:val="0015683F"/>
    <w:rsid w:val="0018525D"/>
    <w:rsid w:val="00267952"/>
    <w:rsid w:val="00293DCA"/>
    <w:rsid w:val="002F3773"/>
    <w:rsid w:val="002F5DFA"/>
    <w:rsid w:val="00310C45"/>
    <w:rsid w:val="00312B74"/>
    <w:rsid w:val="00353B70"/>
    <w:rsid w:val="003D13D2"/>
    <w:rsid w:val="00462ACE"/>
    <w:rsid w:val="00476FC3"/>
    <w:rsid w:val="0049753D"/>
    <w:rsid w:val="004B640F"/>
    <w:rsid w:val="004C0BD1"/>
    <w:rsid w:val="004E135F"/>
    <w:rsid w:val="005030E3"/>
    <w:rsid w:val="005067B2"/>
    <w:rsid w:val="00506BBE"/>
    <w:rsid w:val="00517BB1"/>
    <w:rsid w:val="005937E8"/>
    <w:rsid w:val="006061A6"/>
    <w:rsid w:val="006156EA"/>
    <w:rsid w:val="006D4160"/>
    <w:rsid w:val="00737789"/>
    <w:rsid w:val="00740E21"/>
    <w:rsid w:val="00776499"/>
    <w:rsid w:val="007840B8"/>
    <w:rsid w:val="007C78E4"/>
    <w:rsid w:val="007D5642"/>
    <w:rsid w:val="00815767"/>
    <w:rsid w:val="0084172A"/>
    <w:rsid w:val="008475FB"/>
    <w:rsid w:val="0088289F"/>
    <w:rsid w:val="008A443D"/>
    <w:rsid w:val="008B052E"/>
    <w:rsid w:val="008B5DE6"/>
    <w:rsid w:val="008B6FDF"/>
    <w:rsid w:val="00923FE3"/>
    <w:rsid w:val="00926E53"/>
    <w:rsid w:val="009B4C14"/>
    <w:rsid w:val="009D1C47"/>
    <w:rsid w:val="00A47E94"/>
    <w:rsid w:val="00A815AA"/>
    <w:rsid w:val="00B20356"/>
    <w:rsid w:val="00B846AA"/>
    <w:rsid w:val="00BC34BA"/>
    <w:rsid w:val="00BC3974"/>
    <w:rsid w:val="00C0421C"/>
    <w:rsid w:val="00C81815"/>
    <w:rsid w:val="00CB6E09"/>
    <w:rsid w:val="00CE4079"/>
    <w:rsid w:val="00D22F38"/>
    <w:rsid w:val="00D359DE"/>
    <w:rsid w:val="00DA5E63"/>
    <w:rsid w:val="00DC6640"/>
    <w:rsid w:val="00E06F79"/>
    <w:rsid w:val="00E37732"/>
    <w:rsid w:val="00ED0DC2"/>
    <w:rsid w:val="00F06338"/>
    <w:rsid w:val="00F13E17"/>
    <w:rsid w:val="00F3723F"/>
    <w:rsid w:val="00F83DFB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9FC5A-56CB-4A4F-B65D-07AC1FE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DC66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aglavljestranice">
    <w:name w:val="header"/>
    <w:basedOn w:val="Normal"/>
    <w:link w:val="ZaglavljestraniceChar"/>
    <w:uiPriority w:val="99"/>
    <w:unhideWhenUsed/>
    <w:rsid w:val="0047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76F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728</Words>
  <Characters>4153</Characters>
  <Application>Microsoft Office Word</Application>
  <DocSecurity>8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Odsek za javne nabavke</cp:lastModifiedBy>
  <cp:revision>33</cp:revision>
  <cp:lastPrinted>2015-06-08T09:26:00Z</cp:lastPrinted>
  <dcterms:created xsi:type="dcterms:W3CDTF">2015-04-07T06:39:00Z</dcterms:created>
  <dcterms:modified xsi:type="dcterms:W3CDTF">2015-06-08T10:06:00Z</dcterms:modified>
</cp:coreProperties>
</file>